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112</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413071</w:t>
      </w:r>
    </w:p>
    <w:p>
      <w:pPr>
        <w:pStyle w:val="14"/>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 xml:space="preserve">Discussion on core the maintenance for Case 2 </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5.15.1</w:t>
      </w:r>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bookmarkStart w:id="1" w:name="_GoBack"/>
      <w:bookmarkEnd w:id="1"/>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Around Case 1 and 2 in the WI, some progress were achieved in last meeting and captured in [1]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bidi w:val="0"/>
              <w:spacing w:line="360" w:lineRule="auto"/>
              <w:rPr>
                <w:b/>
                <w:bCs/>
              </w:rPr>
            </w:pPr>
            <w:r>
              <w:rPr>
                <w:b/>
                <w:bCs/>
              </w:rPr>
              <w:t>Sub-topic 2-1: Collision handling for dynamic collisions</w:t>
            </w:r>
          </w:p>
          <w:p>
            <w:pPr>
              <w:pStyle w:val="29"/>
              <w:numPr>
                <w:ilvl w:val="0"/>
                <w:numId w:val="5"/>
              </w:numPr>
              <w:ind w:firstLineChars="0"/>
              <w:rPr>
                <w:b/>
                <w:highlight w:val="green"/>
                <w:lang w:eastAsia="ko-KR"/>
              </w:rPr>
            </w:pPr>
            <w:r>
              <w:rPr>
                <w:b/>
                <w:highlight w:val="green"/>
                <w:lang w:eastAsia="ko-KR"/>
              </w:rPr>
              <w:t>Agreement:</w:t>
            </w:r>
          </w:p>
          <w:p>
            <w:pPr>
              <w:pStyle w:val="29"/>
              <w:numPr>
                <w:ilvl w:val="1"/>
                <w:numId w:val="5"/>
              </w:numPr>
              <w:ind w:firstLineChars="0"/>
              <w:rPr>
                <w:bCs/>
                <w:lang w:eastAsia="ko-KR"/>
              </w:rPr>
            </w:pPr>
            <w:r>
              <w:rPr>
                <w:bCs/>
                <w:lang w:eastAsia="ko-KR"/>
              </w:rPr>
              <w:t xml:space="preserve">The above issues 2-1-1, 2-1-2, 2-1-3, and 2-1-4 are closed. The maintenance for core part to be discussed in CRs. </w:t>
            </w:r>
          </w:p>
          <w:p>
            <w:pPr>
              <w:rPr>
                <w:b/>
                <w:color w:val="0070C0"/>
                <w:u w:val="single"/>
                <w:lang w:eastAsia="ko-KR"/>
              </w:rPr>
            </w:pPr>
            <w:r>
              <w:rPr>
                <w:b/>
                <w:color w:val="0070C0"/>
                <w:u w:val="single"/>
                <w:lang w:eastAsia="ko-KR"/>
              </w:rPr>
              <w:t>Issue 2-1-5: [Case 1] - [</w:t>
            </w:r>
            <w:r>
              <w:rPr>
                <w:b/>
                <w:color w:val="FF0000"/>
                <w:u w:val="single"/>
                <w:lang w:eastAsia="ko-KR"/>
              </w:rPr>
              <w:t>New issue - dropping rule optimization</w:t>
            </w:r>
            <w:r>
              <w:rPr>
                <w:b/>
                <w:color w:val="0070C0"/>
                <w:u w:val="single"/>
                <w:lang w:eastAsia="ko-KR"/>
              </w:rPr>
              <w:t>] Whether to optimise the concurrent measurement gaps are collided when collided?</w:t>
            </w:r>
          </w:p>
          <w:p>
            <w:pPr>
              <w:pStyle w:val="29"/>
              <w:keepNext w:val="0"/>
              <w:keepLines w:val="0"/>
              <w:pageBreakBefore w:val="0"/>
              <w:widowControl w:val="0"/>
              <w:numPr>
                <w:ilvl w:val="0"/>
                <w:numId w:val="6"/>
              </w:numPr>
              <w:kinsoku/>
              <w:wordWrap/>
              <w:overflowPunct/>
              <w:topLinePunct w:val="0"/>
              <w:autoSpaceDE/>
              <w:autoSpaceDN/>
              <w:bidi w:val="0"/>
              <w:adjustRightInd/>
              <w:snapToGrid/>
              <w:ind w:hanging="363" w:firstLineChars="0"/>
              <w:textAlignment w:val="auto"/>
              <w:rPr>
                <w:color w:val="auto"/>
                <w:szCs w:val="24"/>
                <w:lang w:eastAsia="zh-CN"/>
              </w:rPr>
            </w:pPr>
            <w:r>
              <w:rPr>
                <w:b/>
                <w:bCs/>
                <w:color w:val="auto"/>
                <w:szCs w:val="24"/>
                <w:highlight w:val="green"/>
                <w:lang w:eastAsia="zh-CN"/>
              </w:rPr>
              <w:t>Agreement</w:t>
            </w:r>
            <w:r>
              <w:rPr>
                <w:color w:val="auto"/>
                <w:szCs w:val="24"/>
                <w:lang w:eastAsia="zh-CN"/>
              </w:rPr>
              <w:t>:</w:t>
            </w:r>
          </w:p>
          <w:p>
            <w:pPr>
              <w:pStyle w:val="29"/>
              <w:keepNext w:val="0"/>
              <w:keepLines w:val="0"/>
              <w:pageBreakBefore w:val="0"/>
              <w:widowControl w:val="0"/>
              <w:numPr>
                <w:ilvl w:val="1"/>
                <w:numId w:val="6"/>
              </w:numPr>
              <w:kinsoku/>
              <w:wordWrap/>
              <w:overflowPunct/>
              <w:topLinePunct w:val="0"/>
              <w:autoSpaceDE/>
              <w:autoSpaceDN/>
              <w:bidi w:val="0"/>
              <w:adjustRightInd/>
              <w:snapToGrid/>
              <w:ind w:hanging="363" w:firstLineChars="0"/>
              <w:textAlignment w:val="auto"/>
              <w:rPr>
                <w:color w:val="auto"/>
                <w:szCs w:val="24"/>
                <w:lang w:eastAsia="zh-CN"/>
              </w:rPr>
            </w:pPr>
            <w:r>
              <w:rPr>
                <w:color w:val="auto"/>
                <w:szCs w:val="24"/>
                <w:lang w:eastAsia="zh-CN"/>
              </w:rPr>
              <w:t>RAN4 not to consider optimizations of the collision handling for concurrent gaps in Rel-18.</w:t>
            </w:r>
          </w:p>
          <w:p>
            <w:pPr>
              <w:pStyle w:val="29"/>
              <w:keepNext w:val="0"/>
              <w:keepLines w:val="0"/>
              <w:pageBreakBefore w:val="0"/>
              <w:widowControl w:val="0"/>
              <w:numPr>
                <w:ilvl w:val="1"/>
                <w:numId w:val="6"/>
              </w:numPr>
              <w:kinsoku/>
              <w:wordWrap/>
              <w:overflowPunct/>
              <w:topLinePunct w:val="0"/>
              <w:autoSpaceDE/>
              <w:autoSpaceDN/>
              <w:bidi w:val="0"/>
              <w:adjustRightInd/>
              <w:snapToGrid/>
              <w:ind w:hanging="363" w:firstLineChars="0"/>
              <w:textAlignment w:val="auto"/>
              <w:rPr>
                <w:color w:val="auto"/>
                <w:szCs w:val="24"/>
                <w:lang w:eastAsia="zh-CN"/>
              </w:rPr>
            </w:pPr>
            <w:r>
              <w:rPr>
                <w:color w:val="auto"/>
                <w:szCs w:val="24"/>
                <w:lang w:eastAsia="zh-CN"/>
              </w:rPr>
              <w:t>This issue is closed.</w:t>
            </w:r>
          </w:p>
          <w:p>
            <w:pPr>
              <w:pStyle w:val="29"/>
              <w:keepNext w:val="0"/>
              <w:keepLines w:val="0"/>
              <w:pageBreakBefore w:val="0"/>
              <w:widowControl w:val="0"/>
              <w:numPr>
                <w:ilvl w:val="0"/>
                <w:numId w:val="0"/>
              </w:numPr>
              <w:kinsoku/>
              <w:wordWrap/>
              <w:overflowPunct/>
              <w:topLinePunct w:val="0"/>
              <w:autoSpaceDE/>
              <w:autoSpaceDN/>
              <w:bidi w:val="0"/>
              <w:adjustRightInd/>
              <w:snapToGrid/>
              <w:ind w:left="1077" w:leftChars="0"/>
              <w:textAlignment w:val="auto"/>
              <w:rPr>
                <w:color w:val="auto"/>
                <w:szCs w:val="24"/>
                <w:lang w:eastAsia="zh-CN"/>
              </w:rPr>
            </w:pPr>
          </w:p>
          <w:p>
            <w:pPr>
              <w:rPr>
                <w:b/>
                <w:color w:val="0070C0"/>
                <w:u w:val="single"/>
                <w:lang w:eastAsia="ko-KR"/>
              </w:rPr>
            </w:pPr>
            <w:r>
              <w:rPr>
                <w:b/>
                <w:color w:val="0070C0"/>
                <w:u w:val="single"/>
                <w:lang w:eastAsia="ko-KR"/>
              </w:rPr>
              <w:t>Issue 2-1-6: [Case 1] - [</w:t>
            </w:r>
            <w:r>
              <w:rPr>
                <w:b/>
                <w:color w:val="FF0000"/>
                <w:u w:val="single"/>
                <w:lang w:eastAsia="ko-KR"/>
              </w:rPr>
              <w:t>New issue - spec cleaning</w:t>
            </w:r>
            <w:r>
              <w:rPr>
                <w:b/>
                <w:color w:val="0070C0"/>
                <w:u w:val="single"/>
                <w:lang w:eastAsia="ko-KR"/>
              </w:rPr>
              <w:t>] This issue related to further cleaning in current spec writing [multiple options can be selected based on discussion]:</w:t>
            </w:r>
          </w:p>
          <w:p>
            <w:pPr>
              <w:pStyle w:val="29"/>
              <w:numPr>
                <w:ilvl w:val="0"/>
                <w:numId w:val="7"/>
              </w:numPr>
              <w:overflowPunct/>
              <w:autoSpaceDE/>
              <w:adjustRightInd/>
              <w:spacing w:after="120"/>
              <w:ind w:left="420" w:leftChars="0" w:hanging="420" w:firstLineChars="0"/>
              <w:textAlignment w:val="auto"/>
              <w:rPr>
                <w:rFonts w:eastAsia="宋体"/>
                <w:szCs w:val="24"/>
                <w:highlight w:val="green"/>
                <w:lang w:eastAsia="zh-CN"/>
              </w:rPr>
            </w:pPr>
            <w:r>
              <w:rPr>
                <w:rFonts w:eastAsia="宋体"/>
                <w:b/>
                <w:bCs/>
                <w:szCs w:val="24"/>
                <w:highlight w:val="green"/>
                <w:lang w:eastAsia="zh-CN"/>
              </w:rPr>
              <w:t>Agreement</w:t>
            </w:r>
            <w:r>
              <w:rPr>
                <w:rFonts w:eastAsia="宋体"/>
                <w:szCs w:val="24"/>
                <w:highlight w:val="green"/>
                <w:lang w:eastAsia="zh-CN"/>
              </w:rPr>
              <w:t xml:space="preserve">: </w:t>
            </w:r>
          </w:p>
          <w:p>
            <w:pPr>
              <w:pStyle w:val="59"/>
              <w:bidi w:val="0"/>
              <w:ind w:left="1236" w:leftChars="0" w:hanging="360" w:firstLineChars="0"/>
              <w:rPr>
                <w:lang w:eastAsia="zh-CN"/>
              </w:rPr>
            </w:pPr>
            <w:r>
              <w:rPr>
                <w:lang w:eastAsia="zh-CN"/>
              </w:rPr>
              <w:t xml:space="preserve">Maintenance to be discussed in a CR directly. </w:t>
            </w:r>
          </w:p>
          <w:p>
            <w:pPr>
              <w:rPr>
                <w:b/>
                <w:color w:val="0070C0"/>
                <w:u w:val="single"/>
                <w:lang w:eastAsia="ko-KR"/>
              </w:rPr>
            </w:pPr>
            <w:r>
              <w:rPr>
                <w:b/>
                <w:color w:val="0070C0"/>
                <w:u w:val="single"/>
                <w:lang w:eastAsia="ko-KR"/>
              </w:rPr>
              <w:t>Issue 2-1-7: [Case 1] - [</w:t>
            </w:r>
            <w:r>
              <w:rPr>
                <w:b/>
                <w:color w:val="FF0000"/>
                <w:u w:val="single"/>
                <w:lang w:eastAsia="ko-KR"/>
              </w:rPr>
              <w:t>New issue – Dynamic collision</w:t>
            </w:r>
            <w:r>
              <w:rPr>
                <w:b/>
                <w:color w:val="0070C0"/>
                <w:u w:val="single"/>
                <w:lang w:eastAsia="ko-KR"/>
              </w:rPr>
              <w:t>] What is the UE behaviour when the UE doesn’t support dynamic collision FG?</w:t>
            </w:r>
          </w:p>
          <w:p>
            <w:pPr>
              <w:keepNext w:val="0"/>
              <w:keepLines w:val="0"/>
              <w:pageBreakBefore w:val="0"/>
              <w:widowControl w:val="0"/>
              <w:kinsoku/>
              <w:wordWrap/>
              <w:overflowPunct/>
              <w:topLinePunct w:val="0"/>
              <w:autoSpaceDE/>
              <w:autoSpaceDN/>
              <w:bidi w:val="0"/>
              <w:adjustRightInd/>
              <w:snapToGrid/>
              <w:textAlignment w:val="auto"/>
              <w:rPr>
                <w:rFonts w:eastAsia="PMingLiU"/>
                <w:szCs w:val="24"/>
                <w:highlight w:val="green"/>
                <w:lang w:eastAsia="zh-TW"/>
              </w:rPr>
            </w:pPr>
            <w:r>
              <w:rPr>
                <w:rFonts w:eastAsia="PMingLiU"/>
                <w:szCs w:val="24"/>
                <w:highlight w:val="green"/>
                <w:u w:val="single"/>
                <w:lang w:eastAsia="zh-TW"/>
              </w:rPr>
              <w:t>Agreement from online session:</w:t>
            </w:r>
          </w:p>
          <w:p>
            <w:pPr>
              <w:keepNext w:val="0"/>
              <w:keepLines w:val="0"/>
              <w:pageBreakBefore w:val="0"/>
              <w:widowControl w:val="0"/>
              <w:kinsoku/>
              <w:wordWrap/>
              <w:overflowPunct/>
              <w:topLinePunct w:val="0"/>
              <w:autoSpaceDE/>
              <w:autoSpaceDN/>
              <w:bidi w:val="0"/>
              <w:adjustRightInd/>
              <w:snapToGrid/>
              <w:ind w:leftChars="200"/>
              <w:textAlignment w:val="auto"/>
              <w:rPr>
                <w:rFonts w:eastAsia="PMingLiU"/>
                <w:szCs w:val="24"/>
                <w:lang w:eastAsia="zh-TW"/>
              </w:rPr>
            </w:pPr>
            <w:r>
              <w:rPr>
                <w:rFonts w:eastAsia="PMingLiU"/>
                <w:szCs w:val="24"/>
                <w:lang w:eastAsia="zh-TW"/>
              </w:rPr>
              <w:t>For UE not supporting dynamic collision, the MG will be drop if overlapped with Pre-MG, regardless whether Pre-MG (with higher priority) is activated or deactivated, including the case when the MG overlaps with the Pre-MG activation/deactivation procedure.</w:t>
            </w:r>
          </w:p>
          <w:p>
            <w:pPr>
              <w:rPr>
                <w:b/>
                <w:color w:val="0070C0"/>
                <w:u w:val="single"/>
                <w:lang w:eastAsia="ko-KR"/>
              </w:rPr>
            </w:pPr>
            <w:r>
              <w:rPr>
                <w:b/>
                <w:color w:val="0070C0"/>
                <w:u w:val="single"/>
                <w:lang w:eastAsia="ko-KR"/>
              </w:rPr>
              <w:t>Issue 3-2-1: [Case 2] When the UE is configured with Concurrent gaps with NCSG, what is the potential changes to UE behaviour for NCSG upon SCell activation (in Rel-18)</w:t>
            </w:r>
          </w:p>
          <w:p>
            <w:pPr>
              <w:keepNext w:val="0"/>
              <w:keepLines w:val="0"/>
              <w:pageBreakBefore w:val="0"/>
              <w:widowControl w:val="0"/>
              <w:kinsoku/>
              <w:wordWrap/>
              <w:overflowPunct/>
              <w:topLinePunct w:val="0"/>
              <w:autoSpaceDE/>
              <w:autoSpaceDN/>
              <w:bidi w:val="0"/>
              <w:adjustRightInd/>
              <w:snapToGrid/>
              <w:textAlignment w:val="auto"/>
              <w:rPr>
                <w:rFonts w:eastAsia="等线"/>
                <w:szCs w:val="24"/>
                <w:highlight w:val="green"/>
                <w:lang w:eastAsia="zh-CN"/>
              </w:rPr>
            </w:pPr>
            <w:r>
              <w:rPr>
                <w:rFonts w:eastAsia="等线"/>
                <w:szCs w:val="24"/>
                <w:highlight w:val="green"/>
                <w:lang w:eastAsia="zh-CN"/>
              </w:rPr>
              <w:t>Agreement from online session:</w:t>
            </w:r>
          </w:p>
          <w:p>
            <w:pPr>
              <w:pStyle w:val="29"/>
              <w:keepNext w:val="0"/>
              <w:keepLines w:val="0"/>
              <w:pageBreakBefore w:val="0"/>
              <w:widowControl w:val="0"/>
              <w:numPr>
                <w:ilvl w:val="0"/>
                <w:numId w:val="8"/>
              </w:numPr>
              <w:kinsoku/>
              <w:wordWrap/>
              <w:overflowPunct/>
              <w:topLinePunct w:val="0"/>
              <w:autoSpaceDE/>
              <w:autoSpaceDN/>
              <w:bidi w:val="0"/>
              <w:adjustRightInd/>
              <w:snapToGrid/>
              <w:ind w:firstLineChars="0"/>
              <w:textAlignment w:val="auto"/>
              <w:rPr>
                <w:rFonts w:eastAsia="PMingLiU"/>
                <w:szCs w:val="24"/>
                <w:lang w:eastAsia="zh-TW"/>
              </w:rPr>
            </w:pPr>
            <w:r>
              <w:rPr>
                <w:rFonts w:eastAsia="PMingLiU"/>
                <w:lang w:eastAsia="zh-TW"/>
              </w:rPr>
              <w:t>For UE configured with one NCSG and one Type 1/2 MG: All deactivated SCells are measured within NCSG, regardless of the reported UE capabilities [and gap association].</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PMingLiU"/>
                <w:highlight w:val="none"/>
                <w:lang w:eastAsia="zh-TW"/>
              </w:rPr>
            </w:pPr>
            <w:r>
              <w:rPr>
                <w:rFonts w:eastAsia="等线"/>
                <w:highlight w:val="none"/>
              </w:rPr>
              <w:t>Further details on the processing delay between NCSG and Type 1/2 MG can be further discussed.</w:t>
            </w:r>
          </w:p>
          <w:p>
            <w:pPr>
              <w:pStyle w:val="29"/>
              <w:keepNext w:val="0"/>
              <w:keepLines w:val="0"/>
              <w:pageBreakBefore w:val="0"/>
              <w:widowControl w:val="0"/>
              <w:numPr>
                <w:ilvl w:val="0"/>
                <w:numId w:val="8"/>
              </w:numPr>
              <w:kinsoku/>
              <w:wordWrap/>
              <w:overflowPunct/>
              <w:topLinePunct w:val="0"/>
              <w:autoSpaceDE/>
              <w:autoSpaceDN/>
              <w:bidi w:val="0"/>
              <w:adjustRightInd/>
              <w:snapToGrid/>
              <w:ind w:firstLineChars="0"/>
              <w:textAlignment w:val="auto"/>
              <w:rPr>
                <w:rFonts w:eastAsia="PMingLiU"/>
                <w:lang w:eastAsia="zh-TW"/>
              </w:rPr>
            </w:pPr>
            <w:r>
              <w:rPr>
                <w:rFonts w:eastAsia="PMingLiU"/>
                <w:lang w:eastAsia="zh-TW"/>
              </w:rPr>
              <w:t>For UE configured with 2 NCSG, deactivated SCells are measured with NCSG</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PMingLiU"/>
                <w:lang w:eastAsia="zh-TW"/>
              </w:rPr>
            </w:pPr>
            <w:r>
              <w:rPr>
                <w:rFonts w:eastAsia="PMingLiU"/>
                <w:lang w:eastAsia="zh-TW"/>
              </w:rPr>
              <w:t>If the association is provided, deactivated SCells are measured with NCSG according to gap association.</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hint="eastAsia" w:eastAsia="宋体"/>
                <w:color w:val="auto"/>
                <w:sz w:val="20"/>
                <w:szCs w:val="20"/>
                <w:vertAlign w:val="baseline"/>
                <w:lang w:val="en-US" w:eastAsia="zh-CN"/>
              </w:rPr>
            </w:pPr>
            <w:r>
              <w:rPr>
                <w:rFonts w:eastAsia="PMingLiU"/>
                <w:lang w:eastAsia="zh-TW"/>
              </w:rPr>
              <w:t xml:space="preserve">If the association is not provided, </w:t>
            </w:r>
            <w:r>
              <w:rPr>
                <w:rFonts w:eastAsia="PMingLiU"/>
                <w:u w:val="single"/>
                <w:lang w:eastAsia="zh-TW"/>
              </w:rPr>
              <w:t>UE is not expected to cause interruption outside the VIL due to measurement on any of the deactivated SCells, and the existing measurement delay requirement does not apply to this case.</w:t>
            </w:r>
          </w:p>
        </w:tc>
      </w:tr>
    </w:tbl>
    <w:p>
      <w:pPr>
        <w:pStyle w:val="8"/>
        <w:rPr>
          <w:rFonts w:hint="default" w:eastAsia="宋体"/>
          <w:color w:val="auto"/>
          <w:sz w:val="20"/>
          <w:szCs w:val="20"/>
          <w:lang w:val="en-US" w:eastAsia="zh-CN"/>
        </w:rPr>
      </w:pPr>
      <w:r>
        <w:rPr>
          <w:rFonts w:hint="eastAsia" w:eastAsia="宋体"/>
          <w:color w:val="auto"/>
          <w:sz w:val="20"/>
          <w:szCs w:val="20"/>
          <w:lang w:val="en-US" w:eastAsia="zh-CN"/>
        </w:rPr>
        <w:t>Besides these, still only one remaining issue need to be decided. In this paper, we provide our views on this remaining issue.</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8"/>
        <w:rPr>
          <w:rFonts w:hint="eastAsia" w:eastAsia="宋体"/>
          <w:b w:val="0"/>
          <w:bCs w:val="0"/>
          <w:color w:val="auto"/>
          <w:sz w:val="20"/>
          <w:szCs w:val="20"/>
          <w:u w:val="single"/>
          <w:lang w:val="en-US" w:eastAsia="zh-CN"/>
        </w:rPr>
      </w:pPr>
      <w:r>
        <w:rPr>
          <w:rFonts w:hint="eastAsia" w:eastAsia="宋体"/>
          <w:b w:val="0"/>
          <w:bCs w:val="0"/>
          <w:color w:val="auto"/>
          <w:sz w:val="20"/>
          <w:szCs w:val="20"/>
          <w:u w:val="single"/>
          <w:lang w:val="en-US" w:eastAsia="zh-CN"/>
        </w:rPr>
        <w:t>UE behavior for deactivated SCell measurements with NCSG</w:t>
      </w:r>
    </w:p>
    <w:p>
      <w:pPr>
        <w:pStyle w:val="8"/>
        <w:rPr>
          <w:rFonts w:hint="eastAsia" w:eastAsia="宋体"/>
          <w:lang w:val="en-US" w:eastAsia="zh-CN"/>
        </w:rPr>
      </w:pPr>
      <w:r>
        <w:rPr>
          <w:rFonts w:hint="eastAsia" w:eastAsia="宋体"/>
          <w:lang w:val="en-US" w:eastAsia="zh-CN"/>
        </w:rPr>
        <w:t>This issue was discussed in last meeting and concluded with the following progress:</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textAlignment w:val="auto"/>
              <w:rPr>
                <w:rFonts w:eastAsia="PMingLiU"/>
                <w:szCs w:val="24"/>
                <w:lang w:eastAsia="zh-TW"/>
              </w:rPr>
            </w:pPr>
            <w:r>
              <w:rPr>
                <w:rFonts w:eastAsia="等线"/>
                <w:szCs w:val="24"/>
                <w:highlight w:val="green"/>
                <w:lang w:eastAsia="zh-CN"/>
              </w:rPr>
              <w:t>Agreement from online session:</w:t>
            </w:r>
          </w:p>
          <w:p>
            <w:pPr>
              <w:pStyle w:val="29"/>
              <w:keepNext w:val="0"/>
              <w:keepLines w:val="0"/>
              <w:pageBreakBefore w:val="0"/>
              <w:widowControl w:val="0"/>
              <w:numPr>
                <w:ilvl w:val="0"/>
                <w:numId w:val="8"/>
              </w:numPr>
              <w:kinsoku/>
              <w:wordWrap/>
              <w:overflowPunct/>
              <w:topLinePunct w:val="0"/>
              <w:autoSpaceDE/>
              <w:autoSpaceDN/>
              <w:bidi w:val="0"/>
              <w:adjustRightInd/>
              <w:snapToGrid/>
              <w:ind w:firstLineChars="0"/>
              <w:textAlignment w:val="auto"/>
              <w:rPr>
                <w:rFonts w:eastAsia="PMingLiU"/>
                <w:szCs w:val="24"/>
                <w:lang w:eastAsia="zh-TW"/>
              </w:rPr>
            </w:pPr>
            <w:bookmarkStart w:id="0" w:name="OLE_LINK1"/>
            <w:r>
              <w:rPr>
                <w:rFonts w:eastAsia="PMingLiU"/>
                <w:lang w:eastAsia="zh-TW"/>
              </w:rPr>
              <w:t xml:space="preserve">For UE configured with one NCSG and one Type 1/2 MG: All deactivated SCells are measured within NCSG, regardless of the reported UE capabilities </w:t>
            </w:r>
            <w:r>
              <w:rPr>
                <w:rFonts w:eastAsia="PMingLiU"/>
                <w:highlight w:val="yellow"/>
                <w:lang w:eastAsia="zh-TW"/>
              </w:rPr>
              <w:t>[and gap association]</w:t>
            </w:r>
            <w:r>
              <w:rPr>
                <w:rFonts w:eastAsia="PMingLiU"/>
                <w:lang w:eastAsia="zh-TW"/>
              </w:rPr>
              <w:t>.</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PMingLiU"/>
                <w:highlight w:val="yellow"/>
                <w:lang w:eastAsia="zh-TW"/>
              </w:rPr>
            </w:pPr>
            <w:r>
              <w:rPr>
                <w:rFonts w:eastAsia="等线"/>
                <w:highlight w:val="yellow"/>
              </w:rPr>
              <w:t>Further details on the processing delay between NCSG and Type 1/2 MG can be further discussed.</w:t>
            </w:r>
          </w:p>
          <w:bookmarkEnd w:id="0"/>
          <w:p>
            <w:pPr>
              <w:pStyle w:val="29"/>
              <w:keepNext w:val="0"/>
              <w:keepLines w:val="0"/>
              <w:pageBreakBefore w:val="0"/>
              <w:widowControl w:val="0"/>
              <w:numPr>
                <w:ilvl w:val="0"/>
                <w:numId w:val="8"/>
              </w:numPr>
              <w:kinsoku/>
              <w:wordWrap/>
              <w:overflowPunct/>
              <w:topLinePunct w:val="0"/>
              <w:autoSpaceDE/>
              <w:autoSpaceDN/>
              <w:bidi w:val="0"/>
              <w:adjustRightInd/>
              <w:snapToGrid/>
              <w:ind w:firstLineChars="0"/>
              <w:textAlignment w:val="auto"/>
              <w:rPr>
                <w:rFonts w:eastAsia="PMingLiU"/>
                <w:lang w:eastAsia="zh-TW"/>
              </w:rPr>
            </w:pPr>
            <w:r>
              <w:rPr>
                <w:rFonts w:eastAsia="PMingLiU"/>
                <w:lang w:eastAsia="zh-TW"/>
              </w:rPr>
              <w:t>For UE configured with 2 NCSG, deactivated SCells are measured with NCSG</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eastAsia="PMingLiU"/>
                <w:lang w:eastAsia="zh-TW"/>
              </w:rPr>
            </w:pPr>
            <w:r>
              <w:rPr>
                <w:rFonts w:eastAsia="PMingLiU"/>
                <w:lang w:eastAsia="zh-TW"/>
              </w:rPr>
              <w:t>If the association is provided, deactivated SCells are measured with NCSG according to gap association.</w:t>
            </w:r>
          </w:p>
          <w:p>
            <w:pPr>
              <w:pStyle w:val="29"/>
              <w:keepNext w:val="0"/>
              <w:keepLines w:val="0"/>
              <w:pageBreakBefore w:val="0"/>
              <w:widowControl w:val="0"/>
              <w:numPr>
                <w:ilvl w:val="1"/>
                <w:numId w:val="8"/>
              </w:numPr>
              <w:kinsoku/>
              <w:wordWrap/>
              <w:overflowPunct/>
              <w:topLinePunct w:val="0"/>
              <w:autoSpaceDE/>
              <w:autoSpaceDN/>
              <w:bidi w:val="0"/>
              <w:adjustRightInd/>
              <w:snapToGrid/>
              <w:ind w:firstLineChars="0"/>
              <w:textAlignment w:val="auto"/>
              <w:rPr>
                <w:rFonts w:hint="default" w:eastAsia="宋体"/>
                <w:vertAlign w:val="baseline"/>
                <w:lang w:val="en-US" w:eastAsia="zh-CN"/>
              </w:rPr>
            </w:pPr>
            <w:r>
              <w:rPr>
                <w:rFonts w:eastAsia="PMingLiU"/>
                <w:lang w:eastAsia="zh-TW"/>
              </w:rPr>
              <w:t xml:space="preserve">If the association is not provided, </w:t>
            </w:r>
            <w:r>
              <w:rPr>
                <w:rFonts w:eastAsia="PMingLiU"/>
                <w:u w:val="single"/>
                <w:lang w:eastAsia="zh-TW"/>
              </w:rPr>
              <w:t>UE is not expected to cause interruption outside the VIL due to measurement on any of the deactivated SCells, and the existing measurement delay requirement does not apply to this case.</w:t>
            </w:r>
          </w:p>
        </w:tc>
      </w:tr>
    </w:tbl>
    <w:p>
      <w:pPr>
        <w:pStyle w:val="8"/>
        <w:rPr>
          <w:rFonts w:hint="eastAsia" w:eastAsia="宋体"/>
          <w:lang w:val="en-US" w:eastAsia="zh-CN"/>
        </w:rPr>
      </w:pPr>
      <w:r>
        <w:rPr>
          <w:rFonts w:hint="eastAsia" w:eastAsia="宋体"/>
          <w:lang w:val="en-US" w:eastAsia="zh-CN"/>
        </w:rPr>
        <w:t>We highlighted the still open part. Regarding the part in square brackets, we believe the square brackets can be removed. For the case of one NCSG and one Type 1/2 MG configured, no matter the gap association configured, based on existing spec, the deactivated SCell can always be measured within NCSG given that all or part of SMTC occasions are overlapped with NCSG. As a result, even one activated SCell MO is associated with the Type 1/2 MG at first, after a while, the activated SCell is switched to deactivated status, performing this deactivated SCell measurement with in the NCSG, which could avoid additional interruption, it is beneficial to the system performance. Furthermore, which is allowed by existing spec. Therefore, we agree to ignore the association, the deactivated SCell can always be measured within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UE configured with one NCSG and one Type 1/2 MG: All deactivated SCells are measured within NCSG, regardless of the reported UE capabilities </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and gap association</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lang w:val="en-US" w:eastAsia="zh-CN"/>
        </w:rPr>
      </w:pPr>
      <w:r>
        <w:rPr>
          <w:rFonts w:hint="eastAsia" w:eastAsia="宋体"/>
          <w:lang w:val="en-US" w:eastAsia="zh-CN"/>
        </w:rPr>
        <w:t>Regarding the processing delay between NCSG and Type 1/2 MG, For Case 2, no matter the case of NCSG + NCSG or the case of NCSG + Type 1/2 MG, not any additional processing delay was introduced compared with legacy. So we believe just following the existing processing delay is fine, not additional processing delay needed.  For an activated SCell, if it is configured to be associated with the Type 1/2 MG when it configured. But after the deactivation procedure, the status of this SCell is updated to deactivated, then this deactivated SCell would be measured within the NCSG instead of the Type 1/2 MG any more, such update of applicable gap for this SCell can be performed during the deactivated procedure or during the VIL of NCSG, Therefore, no additional processing delay is needed.</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lang w:val="en-US" w:eastAsia="zh-CN"/>
        </w:rPr>
      </w:pPr>
      <w:r>
        <w:rPr>
          <w:rFonts w:hint="eastAsia" w:eastAsia="宋体" w:cs="Times New Roman"/>
          <w:b/>
          <w:bCs/>
          <w:color w:val="auto"/>
          <w:sz w:val="20"/>
          <w:szCs w:val="20"/>
          <w:highlight w:val="none"/>
          <w:lang w:val="en-US" w:eastAsia="zh-CN" w:bidi="ar-SA"/>
        </w:rPr>
        <w:t>Observation 1: For an activated SCell, if it is configured to be associated with the Type 1/2 MG but after the deactivation procedure, the status of this SCell is updated to deactivated, then this deactivated SCell would be measured within the NCSG instead of the Type 1/2 MG any more. Such update of applicable gap for this SCell can be performed during the deactivated procedure or during the VIL of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lang w:val="en-US" w:eastAsia="zh-CN"/>
        </w:rPr>
      </w:pPr>
      <w:r>
        <w:rPr>
          <w:rFonts w:hint="eastAsia" w:eastAsia="宋体" w:cs="Times New Roman"/>
          <w:b/>
          <w:bCs/>
          <w:color w:val="auto"/>
          <w:sz w:val="20"/>
          <w:szCs w:val="20"/>
          <w:highlight w:val="none"/>
          <w:lang w:val="en-US" w:eastAsia="zh-CN" w:bidi="ar-SA"/>
        </w:rPr>
        <w:t xml:space="preserve">Proposal 2: For UE configured with one NCSG and one Type 1/2 MG: All deactivated SCells are measured within NCSG, regardless of the reported UE capabilities </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and gap association</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No the processing delay between NCSG and Type 1/2 MG is needed.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8"/>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joint consideration around Case 2</w:t>
      </w:r>
      <w:r>
        <w:rPr>
          <w:rFonts w:eastAsia="宋体"/>
          <w:bCs/>
          <w:color w:val="auto"/>
          <w:sz w:val="20"/>
          <w:szCs w:val="20"/>
          <w:lang w:val="en-GB" w:eastAsia="zh-CN"/>
        </w:rPr>
        <w:t>:</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 For UE configured with one NCSG and one Type 1/2 MG: All deactivated SCells are measured within NCSG, regardless of the reported UE capabilities </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and gap association</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eastAsia" w:eastAsia="宋体"/>
          <w:lang w:val="en-US" w:eastAsia="zh-CN"/>
        </w:rPr>
      </w:pPr>
      <w:r>
        <w:rPr>
          <w:rFonts w:hint="eastAsia" w:eastAsia="宋体" w:cs="Times New Roman"/>
          <w:b/>
          <w:bCs/>
          <w:color w:val="auto"/>
          <w:sz w:val="20"/>
          <w:szCs w:val="20"/>
          <w:highlight w:val="none"/>
          <w:lang w:val="en-US" w:eastAsia="zh-CN" w:bidi="ar-SA"/>
        </w:rPr>
        <w:t>Observation 1: For an activated SCell, if it is configured to be associated with the Type 1/2 MG but after the deactivation procedure, the status of this SCell is updated to deactivated, then this deactivated SCell would be measured within the NCSG instead of the Type 1/2 MG any more. Such update of applicable gap for this SCell can be performed during the deactivated procedure or during the VIL of NCSG.</w:t>
      </w:r>
    </w:p>
    <w:p>
      <w:pPr>
        <w:pStyle w:val="8"/>
        <w:keepNext w:val="0"/>
        <w:keepLines w:val="0"/>
        <w:pageBreakBefore w:val="0"/>
        <w:widowControl/>
        <w:kinsoku/>
        <w:wordWrap/>
        <w:overflowPunct/>
        <w:topLinePunct w:val="0"/>
        <w:autoSpaceDE/>
        <w:autoSpaceDN/>
        <w:bidi w:val="0"/>
        <w:adjustRightInd/>
        <w:snapToGrid/>
        <w:spacing w:before="157" w:beforeLines="50"/>
        <w:textAlignment w:val="auto"/>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2: For UE configured with one NCSG and one Type 1/2 MG: All deactivated SCells are measured within NCSG, regardless of the reported UE capabilities </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and gap association</w:t>
      </w:r>
      <w:r>
        <w:rPr>
          <w:rFonts w:hint="eastAsia" w:eastAsia="宋体" w:cs="Times New Roman"/>
          <w:b/>
          <w:bCs/>
          <w:strike/>
          <w:dstrike w:val="0"/>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No the processing delay between NCSG and Type 1/2 MG is needed.</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9"/>
        </w:numPr>
        <w:ind w:left="0" w:leftChars="0" w:firstLine="0" w:firstLineChars="0"/>
        <w:rPr>
          <w:rFonts w:hint="eastAsia"/>
          <w:color w:val="auto"/>
          <w:highlight w:val="none"/>
          <w:lang w:val="en-US" w:eastAsia="zh-CN"/>
        </w:rPr>
      </w:pPr>
      <w:r>
        <w:rPr>
          <w:rFonts w:hint="eastAsia"/>
          <w:color w:val="auto"/>
          <w:highlight w:val="none"/>
          <w:lang w:val="en-US" w:eastAsia="zh-CN"/>
        </w:rPr>
        <w:t xml:space="preserve">R4-2410376 </w:t>
      </w:r>
      <w:r>
        <w:rPr>
          <w:rFonts w:hint="default"/>
          <w:color w:val="auto"/>
          <w:highlight w:val="none"/>
          <w:lang w:val="en-US" w:eastAsia="zh-CN"/>
        </w:rPr>
        <w:t>“</w:t>
      </w:r>
      <w:r>
        <w:rPr>
          <w:rFonts w:hint="eastAsia"/>
          <w:color w:val="auto"/>
          <w:highlight w:val="none"/>
          <w:lang w:val="en-US" w:eastAsia="zh-CN"/>
        </w:rPr>
        <w:t>WF on NR_MG_enh2_part1</w:t>
      </w:r>
      <w:r>
        <w:rPr>
          <w:rFonts w:hint="default"/>
          <w:color w:val="auto"/>
          <w:highlight w:val="none"/>
          <w:lang w:val="en-US" w:eastAsia="zh-CN"/>
        </w:rPr>
        <w:t>”</w:t>
      </w:r>
      <w:r>
        <w:rPr>
          <w:rFonts w:hint="eastAsia"/>
          <w:color w:val="auto"/>
          <w:highlight w:val="none"/>
          <w:lang w:val="en-US" w:eastAsia="zh-CN"/>
        </w:rPr>
        <w:t>, MediaTek Inc</w:t>
      </w:r>
    </w:p>
    <w:p>
      <w:pPr>
        <w:pStyle w:val="9"/>
        <w:numPr>
          <w:ilvl w:val="0"/>
          <w:numId w:val="0"/>
        </w:numPr>
        <w:ind w:leftChars="0"/>
        <w:rPr>
          <w:rFonts w:hint="default"/>
          <w:color w:val="auto"/>
          <w:highlight w:val="none"/>
          <w:lang w:val="en-US" w:eastAsia="zh-CN"/>
        </w:rPr>
      </w:pPr>
    </w:p>
    <w:p>
      <w:pPr>
        <w:pStyle w:val="9"/>
        <w:numPr>
          <w:ilvl w:val="0"/>
          <w:numId w:val="0"/>
        </w:numPr>
        <w:ind w:leftChars="0"/>
        <w:rPr>
          <w:rFonts w:hint="default"/>
          <w:color w:val="auto"/>
          <w:highlight w:val="none"/>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等线">
    <w:altName w:val="Arial Unicode MS"/>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533C05"/>
    <w:multiLevelType w:val="singleLevel"/>
    <w:tmpl w:val="85533C05"/>
    <w:lvl w:ilvl="0" w:tentative="0">
      <w:start w:val="1"/>
      <w:numFmt w:val="bullet"/>
      <w:lvlText w:val=""/>
      <w:lvlJc w:val="left"/>
      <w:pPr>
        <w:ind w:left="420" w:hanging="420"/>
      </w:pPr>
      <w:rPr>
        <w:rFonts w:hint="default" w:ascii="Wingdings" w:hAnsi="Wingdings"/>
      </w:rPr>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26AB1542"/>
    <w:multiLevelType w:val="multilevel"/>
    <w:tmpl w:val="26AB1542"/>
    <w:lvl w:ilvl="0" w:tentative="0">
      <w:start w:val="1"/>
      <w:numFmt w:val="bullet"/>
      <w:lvlText w:val=""/>
      <w:lvlJc w:val="left"/>
      <w:pPr>
        <w:ind w:left="768" w:hanging="480"/>
      </w:pPr>
      <w:rPr>
        <w:rFonts w:hint="default" w:ascii="Wingdings" w:hAnsi="Wingdings"/>
      </w:rPr>
    </w:lvl>
    <w:lvl w:ilvl="1" w:tentative="0">
      <w:start w:val="1"/>
      <w:numFmt w:val="bullet"/>
      <w:lvlText w:val=""/>
      <w:lvlJc w:val="left"/>
      <w:pPr>
        <w:ind w:left="1248" w:hanging="480"/>
      </w:pPr>
      <w:rPr>
        <w:rFonts w:hint="default" w:ascii="Wingdings" w:hAnsi="Wingdings"/>
      </w:rPr>
    </w:lvl>
    <w:lvl w:ilvl="2" w:tentative="0">
      <w:start w:val="1"/>
      <w:numFmt w:val="bullet"/>
      <w:lvlText w:val=""/>
      <w:lvlJc w:val="left"/>
      <w:pPr>
        <w:ind w:left="1728" w:hanging="480"/>
      </w:pPr>
      <w:rPr>
        <w:rFonts w:hint="default" w:ascii="Wingdings" w:hAnsi="Wingdings"/>
      </w:rPr>
    </w:lvl>
    <w:lvl w:ilvl="3" w:tentative="0">
      <w:start w:val="1"/>
      <w:numFmt w:val="bullet"/>
      <w:lvlText w:val=""/>
      <w:lvlJc w:val="left"/>
      <w:pPr>
        <w:ind w:left="2208" w:hanging="480"/>
      </w:pPr>
      <w:rPr>
        <w:rFonts w:hint="default" w:ascii="Wingdings" w:hAnsi="Wingdings"/>
      </w:rPr>
    </w:lvl>
    <w:lvl w:ilvl="4" w:tentative="0">
      <w:start w:val="1"/>
      <w:numFmt w:val="bullet"/>
      <w:lvlText w:val=""/>
      <w:lvlJc w:val="left"/>
      <w:pPr>
        <w:ind w:left="2688" w:hanging="480"/>
      </w:pPr>
      <w:rPr>
        <w:rFonts w:hint="default" w:ascii="Wingdings" w:hAnsi="Wingdings"/>
      </w:rPr>
    </w:lvl>
    <w:lvl w:ilvl="5" w:tentative="0">
      <w:start w:val="1"/>
      <w:numFmt w:val="bullet"/>
      <w:lvlText w:val=""/>
      <w:lvlJc w:val="left"/>
      <w:pPr>
        <w:ind w:left="3168" w:hanging="480"/>
      </w:pPr>
      <w:rPr>
        <w:rFonts w:hint="default" w:ascii="Wingdings" w:hAnsi="Wingdings"/>
      </w:rPr>
    </w:lvl>
    <w:lvl w:ilvl="6" w:tentative="0">
      <w:start w:val="1"/>
      <w:numFmt w:val="bullet"/>
      <w:lvlText w:val=""/>
      <w:lvlJc w:val="left"/>
      <w:pPr>
        <w:ind w:left="3648" w:hanging="480"/>
      </w:pPr>
      <w:rPr>
        <w:rFonts w:hint="default" w:ascii="Wingdings" w:hAnsi="Wingdings"/>
      </w:rPr>
    </w:lvl>
    <w:lvl w:ilvl="7" w:tentative="0">
      <w:start w:val="1"/>
      <w:numFmt w:val="bullet"/>
      <w:lvlText w:val=""/>
      <w:lvlJc w:val="left"/>
      <w:pPr>
        <w:ind w:left="4128" w:hanging="480"/>
      </w:pPr>
      <w:rPr>
        <w:rFonts w:hint="default" w:ascii="Wingdings" w:hAnsi="Wingdings"/>
      </w:rPr>
    </w:lvl>
    <w:lvl w:ilvl="8" w:tentative="0">
      <w:start w:val="1"/>
      <w:numFmt w:val="bullet"/>
      <w:lvlText w:val=""/>
      <w:lvlJc w:val="left"/>
      <w:pPr>
        <w:ind w:left="4608" w:hanging="480"/>
      </w:pPr>
      <w:rPr>
        <w:rFonts w:hint="default" w:ascii="Wingdings" w:hAnsi="Wingdings"/>
      </w:rPr>
    </w:lvl>
  </w:abstractNum>
  <w:abstractNum w:abstractNumId="3">
    <w:nsid w:val="2BC56E21"/>
    <w:multiLevelType w:val="singleLevel"/>
    <w:tmpl w:val="2BC56E21"/>
    <w:lvl w:ilvl="0" w:tentative="0">
      <w:start w:val="1"/>
      <w:numFmt w:val="decimal"/>
      <w:suff w:val="space"/>
      <w:lvlText w:val="[%1]"/>
      <w:lvlJc w:val="left"/>
    </w:lvl>
  </w:abstractNum>
  <w:abstractNum w:abstractNumId="4">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89F0922"/>
    <w:multiLevelType w:val="multilevel"/>
    <w:tmpl w:val="589F092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59"/>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66EB0C2F"/>
    <w:multiLevelType w:val="multilevel"/>
    <w:tmpl w:val="66EB0C2F"/>
    <w:lvl w:ilvl="0" w:tentative="0">
      <w:start w:val="9"/>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8"/>
  </w:num>
  <w:num w:numId="2">
    <w:abstractNumId w:val="4"/>
  </w:num>
  <w:num w:numId="3">
    <w:abstractNumId w:val="6"/>
  </w:num>
  <w:num w:numId="4">
    <w:abstractNumId w:val="1"/>
  </w:num>
  <w:num w:numId="5">
    <w:abstractNumId w:val="7"/>
  </w:num>
  <w:num w:numId="6">
    <w:abstractNumId w:val="5"/>
  </w:num>
  <w:num w:numId="7">
    <w:abstractNumId w:val="0"/>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2DA4"/>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1705BB"/>
    <w:rsid w:val="035D7EFD"/>
    <w:rsid w:val="037D0CB3"/>
    <w:rsid w:val="03D44ED3"/>
    <w:rsid w:val="03D4720A"/>
    <w:rsid w:val="03E31229"/>
    <w:rsid w:val="04654053"/>
    <w:rsid w:val="04793516"/>
    <w:rsid w:val="047A00DD"/>
    <w:rsid w:val="047A3CFF"/>
    <w:rsid w:val="04885243"/>
    <w:rsid w:val="049725E5"/>
    <w:rsid w:val="050C6500"/>
    <w:rsid w:val="05317828"/>
    <w:rsid w:val="0537799F"/>
    <w:rsid w:val="05477E90"/>
    <w:rsid w:val="0563116C"/>
    <w:rsid w:val="056649FC"/>
    <w:rsid w:val="057E2598"/>
    <w:rsid w:val="05BB5AB9"/>
    <w:rsid w:val="05C42923"/>
    <w:rsid w:val="05F231A6"/>
    <w:rsid w:val="05F562DB"/>
    <w:rsid w:val="06963BA6"/>
    <w:rsid w:val="06965F3C"/>
    <w:rsid w:val="07767A70"/>
    <w:rsid w:val="07CD3CDD"/>
    <w:rsid w:val="07F65E3F"/>
    <w:rsid w:val="0855671D"/>
    <w:rsid w:val="089009EB"/>
    <w:rsid w:val="09716BCA"/>
    <w:rsid w:val="09CE288D"/>
    <w:rsid w:val="09D64B23"/>
    <w:rsid w:val="09E644B8"/>
    <w:rsid w:val="0AC905E4"/>
    <w:rsid w:val="0AF01D00"/>
    <w:rsid w:val="0B12013A"/>
    <w:rsid w:val="0B1C5C6A"/>
    <w:rsid w:val="0B243EFB"/>
    <w:rsid w:val="0B3D3C2F"/>
    <w:rsid w:val="0B932DAE"/>
    <w:rsid w:val="0BB0429A"/>
    <w:rsid w:val="0BFF5FC6"/>
    <w:rsid w:val="0C276675"/>
    <w:rsid w:val="0C394019"/>
    <w:rsid w:val="0CA1601E"/>
    <w:rsid w:val="0CD5437F"/>
    <w:rsid w:val="0F032465"/>
    <w:rsid w:val="0F183290"/>
    <w:rsid w:val="0F3D019A"/>
    <w:rsid w:val="0F6F5BCD"/>
    <w:rsid w:val="0FF51A0D"/>
    <w:rsid w:val="10997F43"/>
    <w:rsid w:val="10DE7BAE"/>
    <w:rsid w:val="110404BB"/>
    <w:rsid w:val="120774A3"/>
    <w:rsid w:val="12580C13"/>
    <w:rsid w:val="14006D19"/>
    <w:rsid w:val="1481754F"/>
    <w:rsid w:val="148F5721"/>
    <w:rsid w:val="14AC57CD"/>
    <w:rsid w:val="14DD242D"/>
    <w:rsid w:val="15ED3E9B"/>
    <w:rsid w:val="164514BE"/>
    <w:rsid w:val="170F06AA"/>
    <w:rsid w:val="17225508"/>
    <w:rsid w:val="178F723E"/>
    <w:rsid w:val="180A6E32"/>
    <w:rsid w:val="183F2CD2"/>
    <w:rsid w:val="1856323E"/>
    <w:rsid w:val="18741463"/>
    <w:rsid w:val="187C52B1"/>
    <w:rsid w:val="18AF55E3"/>
    <w:rsid w:val="18B1519A"/>
    <w:rsid w:val="18CD0507"/>
    <w:rsid w:val="195D7D48"/>
    <w:rsid w:val="1AB37CA1"/>
    <w:rsid w:val="1AC93209"/>
    <w:rsid w:val="1AD01A1B"/>
    <w:rsid w:val="1B61065A"/>
    <w:rsid w:val="1BB65318"/>
    <w:rsid w:val="1BBF3927"/>
    <w:rsid w:val="1C177B08"/>
    <w:rsid w:val="1C9001C6"/>
    <w:rsid w:val="1CBA2101"/>
    <w:rsid w:val="1D0573D7"/>
    <w:rsid w:val="1D153DC4"/>
    <w:rsid w:val="1D223E0B"/>
    <w:rsid w:val="1E132F88"/>
    <w:rsid w:val="1E2867E9"/>
    <w:rsid w:val="1E783C1F"/>
    <w:rsid w:val="1E853F6F"/>
    <w:rsid w:val="1E9C7BCC"/>
    <w:rsid w:val="1ECC1E3C"/>
    <w:rsid w:val="1FC809A3"/>
    <w:rsid w:val="1FFD4083"/>
    <w:rsid w:val="20B47552"/>
    <w:rsid w:val="20F20607"/>
    <w:rsid w:val="21014C39"/>
    <w:rsid w:val="21045DF0"/>
    <w:rsid w:val="21244EB1"/>
    <w:rsid w:val="213964D8"/>
    <w:rsid w:val="21595D04"/>
    <w:rsid w:val="21F13629"/>
    <w:rsid w:val="22020321"/>
    <w:rsid w:val="22342FBD"/>
    <w:rsid w:val="22EF77EF"/>
    <w:rsid w:val="22F86F50"/>
    <w:rsid w:val="2305377E"/>
    <w:rsid w:val="23196C2D"/>
    <w:rsid w:val="23B16765"/>
    <w:rsid w:val="24122135"/>
    <w:rsid w:val="244459A2"/>
    <w:rsid w:val="24872CD9"/>
    <w:rsid w:val="24D4257E"/>
    <w:rsid w:val="24D4598D"/>
    <w:rsid w:val="2572202B"/>
    <w:rsid w:val="257227E9"/>
    <w:rsid w:val="2605683C"/>
    <w:rsid w:val="26377CB5"/>
    <w:rsid w:val="26776C39"/>
    <w:rsid w:val="26BB1419"/>
    <w:rsid w:val="27B748AA"/>
    <w:rsid w:val="27CB4CB9"/>
    <w:rsid w:val="27D33276"/>
    <w:rsid w:val="281C2F58"/>
    <w:rsid w:val="293B52F7"/>
    <w:rsid w:val="29442FFE"/>
    <w:rsid w:val="29642C4B"/>
    <w:rsid w:val="2A34628C"/>
    <w:rsid w:val="2A724D05"/>
    <w:rsid w:val="2A7E505C"/>
    <w:rsid w:val="2AC85686"/>
    <w:rsid w:val="2AD04B5F"/>
    <w:rsid w:val="2B151188"/>
    <w:rsid w:val="2B272BDA"/>
    <w:rsid w:val="2B39549B"/>
    <w:rsid w:val="2BC05B2C"/>
    <w:rsid w:val="2BD617C5"/>
    <w:rsid w:val="2C112837"/>
    <w:rsid w:val="2C55584A"/>
    <w:rsid w:val="2CB53868"/>
    <w:rsid w:val="2D2D0C01"/>
    <w:rsid w:val="2E014790"/>
    <w:rsid w:val="2E6234DF"/>
    <w:rsid w:val="2EE77680"/>
    <w:rsid w:val="2F2F0FC8"/>
    <w:rsid w:val="301C6BB6"/>
    <w:rsid w:val="30683AA5"/>
    <w:rsid w:val="30723652"/>
    <w:rsid w:val="30BD4307"/>
    <w:rsid w:val="319708F2"/>
    <w:rsid w:val="31B14C9E"/>
    <w:rsid w:val="31E66E22"/>
    <w:rsid w:val="32997C1E"/>
    <w:rsid w:val="334E4103"/>
    <w:rsid w:val="33AD2366"/>
    <w:rsid w:val="33C522D7"/>
    <w:rsid w:val="33F00CEC"/>
    <w:rsid w:val="340A46FA"/>
    <w:rsid w:val="34807672"/>
    <w:rsid w:val="349C7C47"/>
    <w:rsid w:val="35B06C6A"/>
    <w:rsid w:val="36336C27"/>
    <w:rsid w:val="3683619C"/>
    <w:rsid w:val="36941AA2"/>
    <w:rsid w:val="36D37423"/>
    <w:rsid w:val="376308B0"/>
    <w:rsid w:val="379D23F9"/>
    <w:rsid w:val="391E38BF"/>
    <w:rsid w:val="3A185287"/>
    <w:rsid w:val="3A1F46B8"/>
    <w:rsid w:val="3A61463C"/>
    <w:rsid w:val="3A692CD0"/>
    <w:rsid w:val="3B0D539C"/>
    <w:rsid w:val="3B270929"/>
    <w:rsid w:val="3B3D5571"/>
    <w:rsid w:val="3B673620"/>
    <w:rsid w:val="3B9A1F29"/>
    <w:rsid w:val="3C1648D7"/>
    <w:rsid w:val="3CCA55F0"/>
    <w:rsid w:val="3CE4646B"/>
    <w:rsid w:val="3D5E7AA8"/>
    <w:rsid w:val="3D6F2596"/>
    <w:rsid w:val="3DEF7264"/>
    <w:rsid w:val="3E034DB7"/>
    <w:rsid w:val="3E791E33"/>
    <w:rsid w:val="3F98373C"/>
    <w:rsid w:val="40441BC5"/>
    <w:rsid w:val="405A254B"/>
    <w:rsid w:val="405F175E"/>
    <w:rsid w:val="40C765F3"/>
    <w:rsid w:val="41102B04"/>
    <w:rsid w:val="413B767D"/>
    <w:rsid w:val="42F869D2"/>
    <w:rsid w:val="43553536"/>
    <w:rsid w:val="44494D55"/>
    <w:rsid w:val="44556C28"/>
    <w:rsid w:val="44972678"/>
    <w:rsid w:val="451632B9"/>
    <w:rsid w:val="458D1C2C"/>
    <w:rsid w:val="45906394"/>
    <w:rsid w:val="45F60A50"/>
    <w:rsid w:val="460F047E"/>
    <w:rsid w:val="46142D0C"/>
    <w:rsid w:val="46970A81"/>
    <w:rsid w:val="46B036BF"/>
    <w:rsid w:val="46BE0D9D"/>
    <w:rsid w:val="47282363"/>
    <w:rsid w:val="47614539"/>
    <w:rsid w:val="47DB160F"/>
    <w:rsid w:val="47F6161F"/>
    <w:rsid w:val="488A0591"/>
    <w:rsid w:val="48BA7225"/>
    <w:rsid w:val="48F16278"/>
    <w:rsid w:val="49DC4EAC"/>
    <w:rsid w:val="49E55BC5"/>
    <w:rsid w:val="4A1C3C8A"/>
    <w:rsid w:val="4AC72883"/>
    <w:rsid w:val="4AD313A5"/>
    <w:rsid w:val="4B1C4E5F"/>
    <w:rsid w:val="4B2553F2"/>
    <w:rsid w:val="4BBA4D65"/>
    <w:rsid w:val="4BD325D0"/>
    <w:rsid w:val="4BEC288F"/>
    <w:rsid w:val="4C126F59"/>
    <w:rsid w:val="4C1C63D6"/>
    <w:rsid w:val="4C864A35"/>
    <w:rsid w:val="4D911504"/>
    <w:rsid w:val="4E015C76"/>
    <w:rsid w:val="4E310026"/>
    <w:rsid w:val="4E4A2325"/>
    <w:rsid w:val="4E7A6009"/>
    <w:rsid w:val="4F036129"/>
    <w:rsid w:val="4F062C79"/>
    <w:rsid w:val="4FAA1EBE"/>
    <w:rsid w:val="4FAE4949"/>
    <w:rsid w:val="501A6C55"/>
    <w:rsid w:val="50CE1D68"/>
    <w:rsid w:val="51234069"/>
    <w:rsid w:val="51B14BED"/>
    <w:rsid w:val="51BD50E9"/>
    <w:rsid w:val="52526454"/>
    <w:rsid w:val="525C1CEF"/>
    <w:rsid w:val="528B5767"/>
    <w:rsid w:val="52A73FA4"/>
    <w:rsid w:val="52A77D4F"/>
    <w:rsid w:val="52D33625"/>
    <w:rsid w:val="53700ACD"/>
    <w:rsid w:val="53A3105E"/>
    <w:rsid w:val="53C64B93"/>
    <w:rsid w:val="53D23176"/>
    <w:rsid w:val="548A6C60"/>
    <w:rsid w:val="54E07F19"/>
    <w:rsid w:val="55B1164D"/>
    <w:rsid w:val="55B4735E"/>
    <w:rsid w:val="55BB221D"/>
    <w:rsid w:val="56371459"/>
    <w:rsid w:val="56484633"/>
    <w:rsid w:val="566725E2"/>
    <w:rsid w:val="56E60CA4"/>
    <w:rsid w:val="57732FD0"/>
    <w:rsid w:val="57B304DF"/>
    <w:rsid w:val="58B00917"/>
    <w:rsid w:val="58D0053D"/>
    <w:rsid w:val="598C40A0"/>
    <w:rsid w:val="59C41121"/>
    <w:rsid w:val="59DA647E"/>
    <w:rsid w:val="5A556E1A"/>
    <w:rsid w:val="5AD75F93"/>
    <w:rsid w:val="5B967AD9"/>
    <w:rsid w:val="5BE433F2"/>
    <w:rsid w:val="5C1166E3"/>
    <w:rsid w:val="5E0752E4"/>
    <w:rsid w:val="5E2864D0"/>
    <w:rsid w:val="5E494511"/>
    <w:rsid w:val="5E977690"/>
    <w:rsid w:val="5EB44FC0"/>
    <w:rsid w:val="5EB81F13"/>
    <w:rsid w:val="5F1E1150"/>
    <w:rsid w:val="5F3C085D"/>
    <w:rsid w:val="5F6F5316"/>
    <w:rsid w:val="5FAB1E80"/>
    <w:rsid w:val="5FBA395F"/>
    <w:rsid w:val="602A3BAB"/>
    <w:rsid w:val="60EC2CBA"/>
    <w:rsid w:val="61AC60C5"/>
    <w:rsid w:val="61CC2D28"/>
    <w:rsid w:val="6263511A"/>
    <w:rsid w:val="630C63B9"/>
    <w:rsid w:val="633D5B9B"/>
    <w:rsid w:val="635902CD"/>
    <w:rsid w:val="6363263D"/>
    <w:rsid w:val="63CA3532"/>
    <w:rsid w:val="64706BBE"/>
    <w:rsid w:val="64F2095B"/>
    <w:rsid w:val="65D63F94"/>
    <w:rsid w:val="65DD01B2"/>
    <w:rsid w:val="67702482"/>
    <w:rsid w:val="67921C1E"/>
    <w:rsid w:val="67A858DB"/>
    <w:rsid w:val="67FE4166"/>
    <w:rsid w:val="68AD2162"/>
    <w:rsid w:val="68C401C3"/>
    <w:rsid w:val="693027BF"/>
    <w:rsid w:val="6968769B"/>
    <w:rsid w:val="69A833BD"/>
    <w:rsid w:val="6A7C4345"/>
    <w:rsid w:val="6CBE44A8"/>
    <w:rsid w:val="6D566F0F"/>
    <w:rsid w:val="6D836F72"/>
    <w:rsid w:val="6DDE3DAF"/>
    <w:rsid w:val="6E2D3C2C"/>
    <w:rsid w:val="6E3241BE"/>
    <w:rsid w:val="6E471E78"/>
    <w:rsid w:val="6E9B4501"/>
    <w:rsid w:val="6EB97A9D"/>
    <w:rsid w:val="6EF10A90"/>
    <w:rsid w:val="6F142C9C"/>
    <w:rsid w:val="6FEE03BF"/>
    <w:rsid w:val="6FFF1868"/>
    <w:rsid w:val="705C7553"/>
    <w:rsid w:val="71097A78"/>
    <w:rsid w:val="715F4C2D"/>
    <w:rsid w:val="722F78FB"/>
    <w:rsid w:val="723D67C5"/>
    <w:rsid w:val="72BF60CA"/>
    <w:rsid w:val="72F41282"/>
    <w:rsid w:val="73294AA2"/>
    <w:rsid w:val="733D0D32"/>
    <w:rsid w:val="73D411F1"/>
    <w:rsid w:val="73EB48C0"/>
    <w:rsid w:val="74B158A8"/>
    <w:rsid w:val="753811DE"/>
    <w:rsid w:val="75642DB6"/>
    <w:rsid w:val="757733D9"/>
    <w:rsid w:val="75BE67D4"/>
    <w:rsid w:val="75C2004C"/>
    <w:rsid w:val="75C759C1"/>
    <w:rsid w:val="75E80EC2"/>
    <w:rsid w:val="762545A1"/>
    <w:rsid w:val="762A2E10"/>
    <w:rsid w:val="762D64F3"/>
    <w:rsid w:val="767E7EFF"/>
    <w:rsid w:val="76A033A2"/>
    <w:rsid w:val="7736165A"/>
    <w:rsid w:val="775B4604"/>
    <w:rsid w:val="77C067C3"/>
    <w:rsid w:val="780A3405"/>
    <w:rsid w:val="78911E31"/>
    <w:rsid w:val="791C37C3"/>
    <w:rsid w:val="7922350F"/>
    <w:rsid w:val="792B5470"/>
    <w:rsid w:val="794C6650"/>
    <w:rsid w:val="799135BA"/>
    <w:rsid w:val="79C637D8"/>
    <w:rsid w:val="7A9367CB"/>
    <w:rsid w:val="7ABD2EEB"/>
    <w:rsid w:val="7AF22571"/>
    <w:rsid w:val="7B69224B"/>
    <w:rsid w:val="7BE80F25"/>
    <w:rsid w:val="7C1C35A7"/>
    <w:rsid w:val="7C1F78A6"/>
    <w:rsid w:val="7C2A7BDA"/>
    <w:rsid w:val="7C45431D"/>
    <w:rsid w:val="7CDE5B8C"/>
    <w:rsid w:val="7D3219D5"/>
    <w:rsid w:val="7D4B6690"/>
    <w:rsid w:val="7DDD0501"/>
    <w:rsid w:val="7DE51372"/>
    <w:rsid w:val="7E146BDA"/>
    <w:rsid w:val="7E5E590F"/>
    <w:rsid w:val="7E935AFB"/>
    <w:rsid w:val="7F830BA7"/>
    <w:rsid w:val="7FB04650"/>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unhideWhenUsed/>
    <w:qFormat/>
    <w:uiPriority w:val="35"/>
    <w:rPr>
      <w:rFonts w:ascii="Cambria" w:hAnsi="Cambria" w:eastAsia="黑体"/>
      <w:szCs w:val="20"/>
    </w:rPr>
  </w:style>
  <w:style w:type="paragraph" w:styleId="6">
    <w:name w:val="Document Map"/>
    <w:basedOn w:val="1"/>
    <w:link w:val="30"/>
    <w:semiHidden/>
    <w:unhideWhenUsed/>
    <w:qFormat/>
    <w:uiPriority w:val="99"/>
    <w:rPr>
      <w:rFonts w:ascii="宋体" w:eastAsia="宋体"/>
      <w:sz w:val="18"/>
      <w:szCs w:val="18"/>
    </w:rPr>
  </w:style>
  <w:style w:type="paragraph" w:styleId="7">
    <w:name w:val="annotation text"/>
    <w:basedOn w:val="1"/>
    <w:semiHidden/>
    <w:unhideWhenUsed/>
    <w:qFormat/>
    <w:uiPriority w:val="0"/>
    <w:pPr>
      <w:jc w:val="left"/>
    </w:pPr>
  </w:style>
  <w:style w:type="paragraph" w:styleId="8">
    <w:name w:val="Body Text"/>
    <w:basedOn w:val="1"/>
    <w:link w:val="24"/>
    <w:qFormat/>
    <w:uiPriority w:val="0"/>
    <w:pPr>
      <w:spacing w:after="120"/>
      <w:jc w:val="both"/>
    </w:pPr>
    <w:rPr>
      <w:rFonts w:eastAsia="MS Mincho"/>
      <w:lang w:val="zh-CN"/>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styleId="21">
    <w:name w:val="annotation reference"/>
    <w:unhideWhenUsed/>
    <w:qFormat/>
    <w:uiPriority w:val="99"/>
    <w:rPr>
      <w:sz w:val="18"/>
      <w:szCs w:val="18"/>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8"/>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3"/>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6"/>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5"/>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8"/>
    <w:qFormat/>
    <w:uiPriority w:val="0"/>
  </w:style>
  <w:style w:type="character" w:customStyle="1" w:styleId="55">
    <w:name w:val="eop"/>
    <w:basedOn w:val="18"/>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样式3"/>
    <w:basedOn w:val="29"/>
    <w:qFormat/>
    <w:uiPriority w:val="0"/>
    <w:pPr>
      <w:numPr>
        <w:ilvl w:val="1"/>
        <w:numId w:val="3"/>
      </w:numPr>
      <w:spacing w:after="120"/>
      <w:ind w:firstLine="0"/>
    </w:pPr>
    <w:rPr>
      <w:rFonts w:ascii="Times New Roman" w:hAnsi="Times New Roman" w:eastAsia="宋体" w:cs="Times New Roman"/>
      <w:sz w:val="20"/>
      <w:szCs w:val="24"/>
      <w:lang w:val="en-GB"/>
    </w:rPr>
  </w:style>
  <w:style w:type="paragraph" w:customStyle="1" w:styleId="60">
    <w:name w:val="B2"/>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2024-08-09T15:40:10Z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8C786118F810455FA066C923F3C231AE</vt:lpwstr>
  </property>
</Properties>
</file>